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ЗАЯВЛЕНИЯ ПРИНИМАЮТСЯ СРОКОМ ДО 1 МАРТА ТЕКУЩЕГО ГОДА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left="-142" w:right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КУДА ОБРАЩАТЬСЯ:</w:t>
      </w:r>
      <w:r>
        <w:rPr>
          <w:rFonts w:ascii="Times New Roman" w:hAnsi="Times New Roman" w:cs="Times New Roman"/>
          <w:bCs/>
          <w:sz w:val="26"/>
          <w:szCs w:val="26"/>
        </w:rPr>
        <w:t xml:space="preserve"> в </w:t>
      </w:r>
      <w:r>
        <w:rPr>
          <w:rFonts w:ascii="Times New Roman" w:hAnsi="Times New Roman" w:cs="Times New Roman"/>
          <w:bCs/>
          <w:sz w:val="26"/>
          <w:szCs w:val="26"/>
        </w:rPr>
        <w:t xml:space="preserve">Депимущества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Cs/>
          <w:sz w:val="26"/>
          <w:szCs w:val="26"/>
        </w:rPr>
        <w:t xml:space="preserve">АСР по адресу: г. Сургут, ул. Энгельса, дом 10, </w:t>
      </w:r>
      <w:r>
        <w:rPr>
          <w:rFonts w:ascii="Times New Roman" w:hAnsi="Times New Roman" w:cs="Times New Roman"/>
          <w:bCs/>
          <w:sz w:val="26"/>
          <w:szCs w:val="26"/>
        </w:rPr>
        <w:t xml:space="preserve">кабинет 126, </w:t>
      </w:r>
      <w:r>
        <w:rPr>
          <w:rFonts w:ascii="Times New Roman" w:hAnsi="Times New Roman" w:cs="Times New Roman"/>
          <w:bCs/>
          <w:sz w:val="26"/>
          <w:szCs w:val="26"/>
        </w:rPr>
        <w:t xml:space="preserve">тел. 526-597.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825500</wp:posOffset>
                </wp:positionH>
                <wp:positionV relativeFrom="paragraph">
                  <wp:posOffset>-5714</wp:posOffset>
                </wp:positionV>
                <wp:extent cx="1359535" cy="139954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359535" cy="1399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65.00pt;mso-position-horizontal:absolute;mso-position-vertical-relative:text;margin-top:-0.45pt;mso-position-vertical:absolute;width:107.05pt;height:110.2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-3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sz w:val="32"/>
          <w:szCs w:val="32"/>
          <w:lang w:eastAsia="ru-RU"/>
        </w:rPr>
      </w:r>
    </w:p>
    <w:p>
      <w:pPr>
        <w:pStyle w:val="881"/>
        <w:jc w:val="center"/>
        <w:spacing w:before="22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IT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, медицинских работников, работников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науки и образования</w:t>
      </w:r>
      <w:r>
        <w:rPr>
          <w:rFonts w:ascii="Times New Roman" w:hAnsi="Times New Roman" w:cs="Times New Roman"/>
          <w:b/>
          <w:iCs/>
          <w:sz w:val="28"/>
          <w:szCs w:val="28"/>
        </w:rPr>
      </w:r>
      <w:r>
        <w:rPr>
          <w:rFonts w:ascii="Times New Roman" w:hAnsi="Times New Roman" w:cs="Times New Roman"/>
          <w:b/>
          <w:iCs/>
          <w:sz w:val="28"/>
          <w:szCs w:val="28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51435</wp:posOffset>
                </wp:positionV>
                <wp:extent cx="1867222" cy="1304925"/>
                <wp:effectExtent l="0" t="0" r="0" b="0"/>
                <wp:wrapNone/>
                <wp:docPr id="2" name="Рисунок 3" descr="C:\Users\ChervonetskayaNA\AppData\Local\Microsoft\Windows\INetCache\Content.Word\2021-01-21-14-55-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ChervonetskayaNA\AppData\Local\Microsoft\Windows\INetCache\Content.Word\2021-01-21-14-55-0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67222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7216;o:allowoverlap:true;o:allowincell:true;mso-position-horizontal-relative:text;margin-left:28.75pt;mso-position-horizontal:absolute;mso-position-vertical-relative:text;margin-top:4.05pt;mso-position-vertical:absolute;width:147.03pt;height:102.75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right="39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оциальные выплаты предоставляю</w:t>
      </w:r>
      <w:r>
        <w:rPr>
          <w:rFonts w:ascii="Times New Roman" w:hAnsi="Times New Roman" w:cs="Times New Roman"/>
          <w:sz w:val="24"/>
          <w:szCs w:val="24"/>
        </w:rPr>
        <w:t xml:space="preserve">тся</w:t>
      </w:r>
      <w:r>
        <w:rPr>
          <w:rFonts w:ascii="Times New Roman" w:hAnsi="Times New Roman" w:cs="Times New Roman" w:eastAsiaTheme="minorEastAsia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работникам организаций или индивидуальным предпринимателям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осуществляющим деятельность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области информационных технологий, компьютерного программного обеспечения и участвующих в реализации проекта «Цифровая платформа Югры» по направлениям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медицина, жилищно-коммунальное хозяйство, государственное управление, создание искусственного интеллекта),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медицинским работникам медицинских организаций первичного звена здравоохранения и скорой медицинской помощи, медицинским работникам организаций социального обслуживания, научным работникам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научных организаций и организаций высшего образования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работникам организаций высшего образования из числа профессорско-преподавательского состава, имеющим ученую степень кандидата и (или) доктора наук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Данные категории граждан должны отвечать в совокупности следующим критериям: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Наличие гражданства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Российской Федерации.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Нуждаемость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 жилом помещении.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Ранее не являлся получателем мер социальной поддержки на улучшение жилищных условий. 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Постоянно проживает в Ханты-Мансийском автономном округе – Югре.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5. Осуществляет не менее 5 лет со дня получения социальной выплаты трудовую деятельность в автономном округе.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567"/>
        <w:jc w:val="center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Размер социальной выплаты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Cs/>
          <w:sz w:val="28"/>
          <w:szCs w:val="28"/>
        </w:rPr>
      </w:r>
    </w:p>
    <w:p>
      <w:pPr>
        <w:ind w:left="-567" w:right="283" w:firstLine="567"/>
        <w:jc w:val="center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составляет 600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000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рублей.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-567" w:right="283" w:firstLine="425"/>
        <w:jc w:val="both"/>
        <w:spacing w:after="0" w:line="240" w:lineRule="auto"/>
        <w:tabs>
          <w:tab w:val="left" w:pos="142" w:leader="none"/>
          <w:tab w:val="left" w:pos="709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ind w:left="284"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Социальная выплата может быть использована: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0"/>
        <w:numPr>
          <w:ilvl w:val="0"/>
          <w:numId w:val="8"/>
        </w:num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Первоначальный взнос при ипотечном кредитовании на приобретение у юридических лиц жилых помещений на этапе строительства, или в многоквартирных жилых домах, введенных в эксплуатацию не ранее 2 лет с даты подачи заявления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880"/>
        <w:numPr>
          <w:ilvl w:val="0"/>
          <w:numId w:val="8"/>
        </w:numPr>
        <w:ind w:right="283" w:firstLine="425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погашения ипотечных кредитов на приобретение у юридических лиц жилых помещений на этапе строительства или в многоквартирных жилых домах,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введенных в эксплуатацию не ранее 2 лет с даты подачи заявления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0"/>
        <w:numPr>
          <w:ilvl w:val="0"/>
          <w:numId w:val="8"/>
        </w:num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Для приобретения у юридических лиц жилых помещений на этапе строительства, или в многоквартирных жилых домах,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введенных в эксплуатацию не ранее 2 лет с даты подачи заявления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0"/>
        <w:numPr>
          <w:ilvl w:val="0"/>
          <w:numId w:val="8"/>
        </w:num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Для приобретения у юридических или физических лиц жилых помещений, расположенных на сельских территориях, сельских агломерациях автономного округа.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148590</wp:posOffset>
                </wp:positionV>
                <wp:extent cx="791624" cy="642105"/>
                <wp:effectExtent l="0" t="0" r="8890" b="5715"/>
                <wp:wrapNone/>
                <wp:docPr id="3" name="Рисунок 4" descr="C:\Users\ChervonetskayaNA\AppData\Local\Microsoft\Windows\INetCache\Content.Word\IMG-d6aa3c3dfdd89fe2d1f641e642ce7514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ChervonetskayaNA\AppData\Local\Microsoft\Windows\INetCache\Content.Word\IMG-d6aa3c3dfdd89fe2d1f641e642ce7514-V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791624" cy="64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9264;o:allowoverlap:true;o:allowincell:true;mso-position-horizontal-relative:text;margin-left:88.30pt;mso-position-horizontal:absolute;mso-position-vertical-relative:text;margin-top:11.70pt;mso-position-vertical:absolute;width:62.33pt;height:50.56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sz w:val="24"/>
          <w:szCs w:val="24"/>
        </w:rPr>
        <w:t xml:space="preserve"> НЕОБХОДИМЫЕ ДЛЯ УЧАСТИЯ: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83"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удостоверяющие личность участника мероприятия и всех членов его семьи, а также подтверждающие родственные отношения</w:t>
      </w:r>
      <w:r>
        <w:rPr>
          <w:rFonts w:ascii="Times New Roman" w:hAnsi="Times New Roman" w:cs="Times New Roman"/>
        </w:rPr>
        <w:t xml:space="preserve">, состав семьи, изменение фамилии, имени, отчества участника мероприятия и членов его семьи (паспортов, свидетельств о рождении, свидетельств о регистрации заключения (расторжения) брака, решений об усыновлении (удочерении), свидетельств о перемене имени);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3" w:firstLine="425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содержащие сведения о регистрации по месту жительства участника мероприятия и членов его семьи на текущую дату в случае, если такие сведения не подтверждаются паспорто</w:t>
      </w:r>
      <w:r>
        <w:rPr>
          <w:rFonts w:ascii="Times New Roman" w:hAnsi="Times New Roman" w:cs="Times New Roman"/>
        </w:rPr>
        <w:t xml:space="preserve">м (свидетельство о регистрации по месту жительства для членов семьи, не достигших 14–летнего возраста, домовая (поквартирная) книга, адресная справка). Гражданин вправе подтвердить факт постоянного проживания на территории автономного округа решением суда;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50" w:firstLine="425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на занимаемое жилое помещение, а также на жилое помещение, находящееся в собственности участника мероприятия и членов его семьи либо предоставленное по договору с</w:t>
      </w:r>
      <w:r>
        <w:rPr>
          <w:rFonts w:ascii="Times New Roman" w:hAnsi="Times New Roman" w:cs="Times New Roman"/>
        </w:rPr>
        <w:t xml:space="preserve">оциального найма, расположенное на территории Российской Федерации (в зависимости от типа занимаемого помещения и прав на пользование им в случае отсутствия сведений в едином государственном реестре недвижимости, а также в органах местного самоуправления);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3" w:firstLine="425"/>
        <w:jc w:val="both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4) подтверждающие работу в медицинской организации, организации социального обслуживания, научной организации, организации высшего образования (справка работодателя, заверенная копия трудовой книжки).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right="283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sectPr>
      <w:footerReference w:type="default" r:id="rId9"/>
      <w:footnotePr/>
      <w:endnotePr/>
      <w:type w:val="nextPage"/>
      <w:pgSz w:w="16838" w:h="11906" w:orient="landscape"/>
      <w:pgMar w:top="709" w:right="820" w:bottom="284" w:left="1276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3" w:sep="0" w:space="34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Verdana">
    <w:panose1 w:val="020B060403050404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7027906"/>
      <w:docPartObj>
        <w:docPartGallery w:val="Page Numbers (Bottom of Page)"/>
        <w:docPartUnique w:val="true"/>
      </w:docPartObj>
      <w:rPr/>
    </w:sdtPr>
    <w:sdtContent>
      <w:p>
        <w:pPr>
          <w:pStyle w:val="87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9"/>
    <w:next w:val="869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basedOn w:val="870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69"/>
    <w:next w:val="869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basedOn w:val="870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69"/>
    <w:next w:val="869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basedOn w:val="870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69"/>
    <w:next w:val="869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basedOn w:val="870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69"/>
    <w:next w:val="869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basedOn w:val="870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69"/>
    <w:next w:val="869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70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9"/>
    <w:next w:val="869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70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9"/>
    <w:next w:val="869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7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9"/>
    <w:next w:val="869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70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9"/>
    <w:next w:val="869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70"/>
    <w:link w:val="713"/>
    <w:uiPriority w:val="10"/>
    <w:rPr>
      <w:sz w:val="48"/>
      <w:szCs w:val="48"/>
    </w:rPr>
  </w:style>
  <w:style w:type="paragraph" w:styleId="715">
    <w:name w:val="Subtitle"/>
    <w:basedOn w:val="869"/>
    <w:next w:val="869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70"/>
    <w:link w:val="715"/>
    <w:uiPriority w:val="11"/>
    <w:rPr>
      <w:sz w:val="24"/>
      <w:szCs w:val="24"/>
    </w:rPr>
  </w:style>
  <w:style w:type="paragraph" w:styleId="717">
    <w:name w:val="Quote"/>
    <w:basedOn w:val="869"/>
    <w:next w:val="869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9"/>
    <w:next w:val="869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70"/>
    <w:link w:val="876"/>
    <w:uiPriority w:val="99"/>
  </w:style>
  <w:style w:type="character" w:styleId="722">
    <w:name w:val="Footer Char"/>
    <w:basedOn w:val="870"/>
    <w:link w:val="878"/>
    <w:uiPriority w:val="99"/>
  </w:style>
  <w:style w:type="paragraph" w:styleId="723">
    <w:name w:val="Caption"/>
    <w:basedOn w:val="869"/>
    <w:next w:val="869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70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basedOn w:val="870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0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Balloon Text"/>
    <w:basedOn w:val="869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870"/>
    <w:link w:val="873"/>
    <w:uiPriority w:val="99"/>
    <w:semiHidden/>
    <w:rPr>
      <w:rFonts w:ascii="Segoe UI" w:hAnsi="Segoe UI" w:cs="Segoe UI"/>
      <w:sz w:val="18"/>
      <w:szCs w:val="18"/>
    </w:rPr>
  </w:style>
  <w:style w:type="paragraph" w:styleId="875" w:customStyle="1">
    <w:name w:val="1"/>
    <w:basedOn w:val="869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76">
    <w:name w:val="Header"/>
    <w:basedOn w:val="869"/>
    <w:link w:val="8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70"/>
    <w:link w:val="876"/>
    <w:uiPriority w:val="99"/>
  </w:style>
  <w:style w:type="paragraph" w:styleId="878">
    <w:name w:val="Footer"/>
    <w:basedOn w:val="869"/>
    <w:link w:val="8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Нижний колонтитул Знак"/>
    <w:basedOn w:val="870"/>
    <w:link w:val="878"/>
    <w:uiPriority w:val="99"/>
  </w:style>
  <w:style w:type="paragraph" w:styleId="880">
    <w:name w:val="List Paragraph"/>
    <w:basedOn w:val="869"/>
    <w:uiPriority w:val="34"/>
    <w:qFormat/>
    <w:pPr>
      <w:contextualSpacing/>
      <w:ind w:left="720"/>
    </w:pPr>
  </w:style>
  <w:style w:type="paragraph" w:styleId="88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DE6D-310E-4D87-B13C-F794DB18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Александра Анатольевна</dc:creator>
  <cp:keywords/>
  <dc:description/>
  <cp:lastModifiedBy>GavrilovskayaAA</cp:lastModifiedBy>
  <cp:revision>14</cp:revision>
  <dcterms:created xsi:type="dcterms:W3CDTF">2023-01-17T10:36:00Z</dcterms:created>
  <dcterms:modified xsi:type="dcterms:W3CDTF">2026-02-11T07:23:41Z</dcterms:modified>
</cp:coreProperties>
</file>